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W w:type="auto" w:w="0"/>
        <w:tblInd w:type="dxa" w:w="521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78"/>
      </w:tblGrid>
      <w:tr>
        <w:tc>
          <w:tcPr>
            <w:tcW w:type="dxa" w:w="467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3000000">
            <w:pPr>
              <w:pStyle w:val="Style_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>ачальник</w:t>
            </w:r>
            <w:r>
              <w:rPr>
                <w:rFonts w:ascii="Times New Roman" w:hAnsi="Times New Roman"/>
                <w:sz w:val="28"/>
              </w:rPr>
              <w:t>у</w:t>
            </w:r>
            <w:r>
              <w:t xml:space="preserve"> </w:t>
            </w:r>
            <w:bookmarkStart w:id="1" w:name="_Hlk230250838"/>
            <w:bookmarkEnd w:id="1"/>
            <w:r>
              <w:rPr>
                <w:rFonts w:ascii="Times New Roman" w:hAnsi="Times New Roman"/>
                <w:sz w:val="28"/>
              </w:rPr>
              <w:t>управления имущественных отношений</w:t>
            </w:r>
          </w:p>
          <w:p w14:paraId="04000000">
            <w:pPr>
              <w:pStyle w:val="Style_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С.Н. Радькову </w:t>
            </w:r>
          </w:p>
        </w:tc>
      </w:tr>
    </w:tbl>
    <w:p w14:paraId="05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6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Заключение</w:t>
      </w:r>
    </w:p>
    <w:p w14:paraId="08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 результатам оценки регулирующего воздействия</w:t>
      </w:r>
    </w:p>
    <w:p w14:paraId="09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проекта постановления администрации муниципального образования Северский </w:t>
      </w:r>
      <w:r>
        <w:rPr>
          <w:rFonts w:ascii="Times New Roman" w:hAnsi="Times New Roman"/>
          <w:b w:val="1"/>
          <w:sz w:val="28"/>
        </w:rPr>
        <w:t xml:space="preserve">муниципальный </w:t>
      </w:r>
      <w:r>
        <w:rPr>
          <w:rFonts w:ascii="Times New Roman" w:hAnsi="Times New Roman"/>
          <w:b w:val="1"/>
          <w:sz w:val="28"/>
        </w:rPr>
        <w:t>район</w:t>
      </w:r>
      <w:r>
        <w:rPr>
          <w:rFonts w:ascii="Times New Roman" w:hAnsi="Times New Roman"/>
          <w:b w:val="1"/>
          <w:sz w:val="28"/>
        </w:rPr>
        <w:t xml:space="preserve"> Краснодарского края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    </w:t>
      </w:r>
      <w:r>
        <w:rPr>
          <w:rFonts w:ascii="Times New Roman" w:hAnsi="Times New Roman"/>
          <w:b w:val="1"/>
          <w:sz w:val="28"/>
        </w:rPr>
        <w:t xml:space="preserve">                           </w:t>
      </w: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rFonts w:ascii="Times New Roman" w:hAnsi="Times New Roman"/>
          <w:b w:val="1"/>
          <w:sz w:val="28"/>
        </w:rPr>
        <w:t>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</w:r>
      <w:r>
        <w:rPr>
          <w:rStyle w:val="Style_4_ch"/>
          <w:rFonts w:ascii="Times New Roman" w:hAnsi="Times New Roman"/>
          <w:b w:val="1"/>
          <w:sz w:val="28"/>
        </w:rPr>
        <w:t>»</w:t>
      </w:r>
    </w:p>
    <w:p w14:paraId="0A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C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</w:t>
      </w:r>
      <w:r>
        <w:rPr>
          <w:rFonts w:ascii="Times New Roman" w:hAnsi="Times New Roman"/>
          <w:sz w:val="28"/>
        </w:rPr>
        <w:t xml:space="preserve"> экономики</w:t>
      </w:r>
      <w:r>
        <w:rPr>
          <w:rFonts w:ascii="Times New Roman" w:hAnsi="Times New Roman"/>
          <w:sz w:val="28"/>
        </w:rPr>
        <w:t>, инвестиций</w:t>
      </w:r>
      <w:r>
        <w:rPr>
          <w:rFonts w:ascii="Times New Roman" w:hAnsi="Times New Roman"/>
          <w:sz w:val="28"/>
        </w:rPr>
        <w:t xml:space="preserve"> и прогнозирования </w:t>
      </w:r>
      <w:r>
        <w:rPr>
          <w:rFonts w:ascii="Times New Roman" w:hAnsi="Times New Roman"/>
          <w:sz w:val="28"/>
        </w:rPr>
        <w:t xml:space="preserve">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как уполномоченный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орган по проведению оценки регулиру</w:t>
      </w:r>
      <w:r>
        <w:rPr>
          <w:rFonts w:ascii="Times New Roman" w:hAnsi="Times New Roman"/>
          <w:sz w:val="28"/>
        </w:rPr>
        <w:t>ющего воздействия проектов муниципальных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нормативных </w:t>
      </w:r>
      <w:r>
        <w:rPr>
          <w:rFonts w:ascii="Times New Roman" w:hAnsi="Times New Roman"/>
          <w:sz w:val="28"/>
        </w:rPr>
        <w:t xml:space="preserve">правовых актов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рассмотрел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поступивший 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09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проект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постановления администрации муниципального образования Северский </w:t>
      </w:r>
      <w:r>
        <w:rPr>
          <w:rFonts w:ascii="Times New Roman" w:hAnsi="Times New Roman"/>
          <w:sz w:val="28"/>
        </w:rPr>
        <w:t>му</w:t>
      </w:r>
      <w:r>
        <w:rPr>
          <w:rFonts w:ascii="Times New Roman" w:hAnsi="Times New Roman"/>
          <w:sz w:val="28"/>
        </w:rPr>
        <w:t xml:space="preserve">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«</w:t>
      </w:r>
      <w:r>
        <w:rPr>
          <w:rFonts w:ascii="Times New Roman" w:hAnsi="Times New Roman"/>
          <w:sz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rFonts w:ascii="Times New Roman" w:hAnsi="Times New Roman"/>
          <w:sz w:val="28"/>
        </w:rPr>
        <w:t>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</w:r>
      <w:r>
        <w:rPr>
          <w:rFonts w:ascii="Times New Roman" w:hAnsi="Times New Roman"/>
          <w:b w:val="0"/>
          <w:color w:val="000000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 xml:space="preserve">далее - проект), направленный для подготовки настоящего 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аключения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начальником управления имущественных отношений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муниципального образования Северский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(далее - разработчик), и сообщает следующее.</w:t>
      </w:r>
    </w:p>
    <w:p w14:paraId="0D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</w:t>
      </w:r>
      <w:r>
        <w:rPr>
          <w:rFonts w:ascii="Times New Roman" w:hAnsi="Times New Roman"/>
          <w:sz w:val="28"/>
        </w:rPr>
        <w:t>ого края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затрагивающих осуществление предпринимательской и инвестиционной</w:t>
      </w:r>
      <w:r>
        <w:rPr>
          <w:rFonts w:ascii="Times New Roman" w:hAnsi="Times New Roman"/>
          <w:sz w:val="28"/>
        </w:rPr>
        <w:t xml:space="preserve"> деятельности, утвержденным постановлением 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 район</w:t>
      </w:r>
      <w:r>
        <w:rPr>
          <w:rFonts w:ascii="Times New Roman" w:hAnsi="Times New Roman"/>
          <w:sz w:val="28"/>
        </w:rPr>
        <w:t xml:space="preserve"> 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1263 от 30.09.2015 г.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(далее - Порядок)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проект подлежит проведению оценки регулирующего воздействия.</w:t>
      </w:r>
    </w:p>
    <w:p w14:paraId="0E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содержит положения, имеющие </w:t>
      </w:r>
      <w:r>
        <w:rPr>
          <w:rFonts w:ascii="Times New Roman" w:hAnsi="Times New Roman"/>
          <w:sz w:val="28"/>
        </w:rPr>
        <w:t>высокую</w:t>
      </w:r>
      <w:r>
        <w:rPr>
          <w:rFonts w:ascii="Times New Roman" w:hAnsi="Times New Roman"/>
          <w:sz w:val="28"/>
        </w:rPr>
        <w:t xml:space="preserve"> степень регулирующего воздействия.</w:t>
      </w: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sz w:val="28"/>
        </w:rPr>
        <w:t>Проект направлен разработчиком для проведени</w:t>
      </w:r>
      <w:r>
        <w:rPr>
          <w:rFonts w:ascii="Times New Roman" w:hAnsi="Times New Roman"/>
          <w:sz w:val="28"/>
        </w:rPr>
        <w:t>я оценки регулирующего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воздействия </w:t>
      </w:r>
      <w:r>
        <w:rPr>
          <w:rFonts w:ascii="Times New Roman" w:hAnsi="Times New Roman"/>
          <w:b w:val="1"/>
          <w:sz w:val="28"/>
          <w:u w:val="single"/>
        </w:rPr>
        <w:t xml:space="preserve">первоначально. </w:t>
      </w:r>
    </w:p>
    <w:p w14:paraId="11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</w:t>
      </w:r>
      <w:r>
        <w:rPr>
          <w:rFonts w:ascii="Times New Roman" w:hAnsi="Times New Roman"/>
          <w:sz w:val="28"/>
        </w:rPr>
        <w:t>, содержащихся в сводном отчете:</w:t>
      </w:r>
    </w:p>
    <w:p w14:paraId="12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егулирующим органом в рамках процедуры оценки регулирующего воздействия в соответствии с Порядком в уполномоченный орган направлены проект муниципального правового акта и сводный отчет о результат</w:t>
      </w:r>
      <w:r>
        <w:rPr>
          <w:rFonts w:ascii="Times New Roman" w:hAnsi="Times New Roman"/>
          <w:sz w:val="28"/>
        </w:rPr>
        <w:t>ах проведения оценки регулирующего воздействия муниципального правового акта для проведения публичных консультаций;</w:t>
      </w:r>
    </w:p>
    <w:p w14:paraId="13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проведено сравнение предлага</w:t>
      </w:r>
      <w:r>
        <w:rPr>
          <w:rFonts w:ascii="Times New Roman" w:hAnsi="Times New Roman"/>
          <w:sz w:val="28"/>
        </w:rPr>
        <w:t>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</w:t>
      </w:r>
    </w:p>
    <w:p w14:paraId="14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Управлением 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5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у</w:t>
      </w:r>
      <w:r>
        <w:rPr>
          <w:rFonts w:ascii="Times New Roman" w:hAnsi="Times New Roman"/>
          <w:sz w:val="28"/>
        </w:rPr>
        <w:t>становлена высокая степень регулирующего воздействия МПА;</w:t>
      </w:r>
    </w:p>
    <w:p w14:paraId="16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Дано обоснование степени регулирующего воздействия: проект содержит положения, устанавливающие новые обязательные требования для суб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екта предпринимательской и иной экономической деятельн</w:t>
      </w:r>
      <w:r>
        <w:rPr>
          <w:rFonts w:ascii="Times New Roman" w:hAnsi="Times New Roman"/>
          <w:sz w:val="28"/>
        </w:rPr>
        <w:t>ос</w:t>
      </w:r>
      <w:r>
        <w:rPr>
          <w:rFonts w:ascii="Times New Roman" w:hAnsi="Times New Roman"/>
          <w:sz w:val="28"/>
        </w:rPr>
        <w:t>ти;</w:t>
      </w:r>
    </w:p>
    <w:p w14:paraId="17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проблема р</w:t>
      </w:r>
      <w:r>
        <w:rPr>
          <w:rFonts w:ascii="Times New Roman" w:hAnsi="Times New Roman"/>
          <w:sz w:val="28"/>
        </w:rPr>
        <w:t>егулирующим органом сформулирована точно;</w:t>
      </w:r>
    </w:p>
    <w:p w14:paraId="18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определены потенциальные адресаты предлагаемого правового регулирования, дана их количественная оценка;</w:t>
      </w:r>
    </w:p>
    <w:p w14:paraId="19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цели предлагаемого правового регулирования определены объективно, направлены на решение выя</w:t>
      </w:r>
      <w:r>
        <w:rPr>
          <w:rFonts w:ascii="Times New Roman" w:hAnsi="Times New Roman"/>
          <w:sz w:val="28"/>
        </w:rPr>
        <w:t>вленной проблемы;</w:t>
      </w:r>
      <w:r>
        <w:rPr>
          <w:rFonts w:ascii="Times New Roman" w:hAnsi="Times New Roman"/>
          <w:sz w:val="28"/>
        </w:rPr>
        <w:t xml:space="preserve">  </w:t>
      </w:r>
    </w:p>
    <w:p w14:paraId="1A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достижения целей предлагаемого правового регулирования установлен разработчиком –4 квартал</w:t>
      </w:r>
      <w:r>
        <w:rPr>
          <w:rFonts w:ascii="Times New Roman" w:hAnsi="Times New Roman"/>
          <w:sz w:val="28"/>
        </w:rPr>
        <w:t xml:space="preserve"> 2026 года</w:t>
      </w:r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  </w:t>
      </w:r>
    </w:p>
    <w:p w14:paraId="1B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 xml:space="preserve">расходы потенциальных адресатов регулирования, связанные с введением предлагаемого правового регулирования, по мнению разработчика, заключается в подготовке заявления и прилагаемого пакета документов и составят </w:t>
      </w:r>
      <w:r>
        <w:rPr>
          <w:rFonts w:ascii="Times New Roman" w:hAnsi="Times New Roman"/>
          <w:sz w:val="28"/>
        </w:rPr>
        <w:t>1609,08</w:t>
      </w:r>
      <w:r>
        <w:rPr>
          <w:rStyle w:val="Style_5_ch"/>
          <w:rFonts w:ascii="Times New Roman" w:hAnsi="Times New Roman"/>
          <w:sz w:val="28"/>
        </w:rPr>
        <w:t xml:space="preserve"> руб. в расчете на 1 заявителя;</w:t>
      </w:r>
    </w:p>
    <w:p w14:paraId="1C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дополнительные доходы местного бюджета (бюджета муниципального образования Северский муниципальный район Краснодарского края), связанные с введением предлагаемого правового регулирования, по мнению разработчика, не предполагаются; </w:t>
      </w:r>
    </w:p>
    <w:p w14:paraId="1D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</w:t>
      </w:r>
      <w:r>
        <w:rPr>
          <w:rFonts w:ascii="Times New Roman" w:hAnsi="Times New Roman"/>
          <w:sz w:val="28"/>
        </w:rPr>
        <w:t xml:space="preserve">ия предлагаемого правового регулирования, по мнению разработчика, отсутствуют. </w:t>
      </w:r>
    </w:p>
    <w:p w14:paraId="1E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Выбор предлагаемого регулирующим органом варианта правового регулирования обоснован возможностью достижения заявленных целей регулирования и оценкой рисков наступления неблагоприятных последствий. </w:t>
      </w:r>
      <w:r>
        <w:rPr>
          <w:rFonts w:ascii="Times New Roman" w:hAnsi="Times New Roman"/>
          <w:sz w:val="28"/>
        </w:rPr>
        <w:t xml:space="preserve">  </w:t>
      </w:r>
    </w:p>
    <w:p w14:paraId="1F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Порядком установлено следующее:</w:t>
      </w:r>
    </w:p>
    <w:p w14:paraId="20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Потенциальными группами участников общественных отношений, </w:t>
      </w:r>
      <w:r>
        <w:rPr>
          <w:rStyle w:val="Style_5_ch"/>
          <w:rFonts w:ascii="Times New Roman" w:hAnsi="Times New Roman"/>
          <w:sz w:val="28"/>
        </w:rPr>
        <w:t>интересы которых будут затронуты правовым регулированием, являются</w:t>
      </w:r>
      <w:r>
        <w:rPr>
          <w:rStyle w:val="Style_5_ch"/>
          <w:rFonts w:ascii="Times New Roman" w:hAnsi="Times New Roman"/>
          <w:sz w:val="28"/>
        </w:rPr>
        <w:t xml:space="preserve"> ф</w:t>
      </w:r>
      <w:r>
        <w:rPr>
          <w:rFonts w:ascii="Times New Roman" w:hAnsi="Times New Roman"/>
          <w:sz w:val="28"/>
        </w:rPr>
        <w:t xml:space="preserve">изические и юридические лица, являющиеся правообладателями земельных участков, либо </w:t>
      </w:r>
      <w:r>
        <w:rPr>
          <w:rFonts w:ascii="Times New Roman" w:hAnsi="Times New Roman"/>
          <w:sz w:val="28"/>
        </w:rPr>
        <w:t>иные лица в установленных проектом административного регламента случаях</w:t>
      </w:r>
      <w:r>
        <w:rPr>
          <w:rFonts w:ascii="Times New Roman" w:hAnsi="Times New Roman"/>
          <w:sz w:val="28"/>
        </w:rPr>
        <w:t>.</w:t>
      </w:r>
    </w:p>
    <w:p w14:paraId="21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Количественная оц</w:t>
      </w:r>
      <w:r>
        <w:rPr>
          <w:rFonts w:ascii="Times New Roman" w:hAnsi="Times New Roman"/>
          <w:sz w:val="28"/>
        </w:rPr>
        <w:t>енка участников не ограничена, о</w:t>
      </w:r>
      <w:r>
        <w:rPr>
          <w:rFonts w:ascii="Times New Roman" w:hAnsi="Times New Roman"/>
          <w:sz w:val="28"/>
        </w:rPr>
        <w:t xml:space="preserve">пределить точное количество не представляется возможным. </w:t>
      </w:r>
      <w:r>
        <w:rPr>
          <w:rFonts w:ascii="Times New Roman" w:hAnsi="Times New Roman"/>
          <w:sz w:val="28"/>
        </w:rPr>
        <w:t>Определить точное количество не представляется возможным</w:t>
      </w:r>
      <w:r>
        <w:rPr>
          <w:rFonts w:ascii="Times New Roman" w:hAnsi="Times New Roman"/>
          <w:sz w:val="28"/>
        </w:rPr>
        <w:t xml:space="preserve"> в связи с заявительным характером предлагаемого правового регулирования.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Вместе с тем, 2025 г.  за предоставлением муниципальной услуги обратились 218 заявителей.</w:t>
      </w:r>
    </w:p>
    <w:p w14:paraId="22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</w:t>
      </w:r>
      <w:r>
        <w:rPr>
          <w:rFonts w:ascii="Times New Roman" w:hAnsi="Times New Roman"/>
          <w:sz w:val="28"/>
        </w:rPr>
        <w:t>роблема, на решение которой направлено правовое регулирование, предусмотренных проектом муниципальн</w:t>
      </w:r>
      <w:r>
        <w:rPr>
          <w:rFonts w:ascii="Times New Roman" w:hAnsi="Times New Roman"/>
          <w:sz w:val="28"/>
        </w:rPr>
        <w:t>ого норм</w:t>
      </w:r>
      <w:r>
        <w:rPr>
          <w:rFonts w:ascii="Times New Roman" w:hAnsi="Times New Roman"/>
          <w:sz w:val="28"/>
        </w:rPr>
        <w:t>ативного правового акта</w:t>
      </w:r>
      <w:r>
        <w:rPr>
          <w:rFonts w:ascii="Times New Roman" w:hAnsi="Times New Roman"/>
          <w:sz w:val="28"/>
        </w:rPr>
        <w:t>:</w:t>
      </w:r>
    </w:p>
    <w:tbl>
      <w:tblPr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3"/>
        <w:gridCol w:w="130"/>
        <w:gridCol w:w="278"/>
        <w:gridCol w:w="857"/>
        <w:gridCol w:w="253"/>
        <w:gridCol w:w="139"/>
        <w:gridCol w:w="139"/>
        <w:gridCol w:w="312"/>
        <w:gridCol w:w="243"/>
        <w:gridCol w:w="278"/>
        <w:gridCol w:w="139"/>
        <w:gridCol w:w="184"/>
        <w:gridCol w:w="1203"/>
        <w:gridCol w:w="139"/>
        <w:gridCol w:w="416"/>
        <w:gridCol w:w="208"/>
        <w:gridCol w:w="141"/>
        <w:gridCol w:w="900"/>
        <w:gridCol w:w="83"/>
        <w:gridCol w:w="703"/>
        <w:gridCol w:w="141"/>
        <w:gridCol w:w="461"/>
        <w:gridCol w:w="555"/>
        <w:gridCol w:w="139"/>
        <w:gridCol w:w="952"/>
      </w:tblGrid>
      <w:tr>
        <w:tc>
          <w:tcPr>
            <w:tcW w:type="dxa" w:w="9694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Нецелесообразность (неудобство)</w:t>
            </w:r>
            <w:r>
              <w:rPr>
                <w:rFonts w:ascii="Times New Roman" w:hAnsi="Times New Roman"/>
                <w:sz w:val="28"/>
              </w:rPr>
              <w:t xml:space="preserve"> использования действующего административного регламента предоставления администрацией муниципального образования Северский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район </w:t>
            </w:r>
            <w:r>
              <w:rPr>
                <w:rFonts w:ascii="Times New Roman" w:hAnsi="Times New Roman"/>
                <w:sz w:val="28"/>
              </w:rPr>
              <w:t xml:space="preserve">Краснодарского края </w:t>
            </w:r>
            <w:r>
              <w:rPr>
                <w:rFonts w:ascii="Times New Roman" w:hAnsi="Times New Roman"/>
                <w:sz w:val="28"/>
              </w:rPr>
              <w:t xml:space="preserve">муниципальной услуги </w:t>
            </w:r>
            <w:r>
              <w:rPr>
                <w:rFonts w:ascii="Times New Roman" w:hAnsi="Times New Roman"/>
                <w:sz w:val="28"/>
              </w:rPr>
              <w:t>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в связи с несоответствием его структуры и отдельных положений требованиям федерального законодательства, а именно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Постановлению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      </w:r>
          </w:p>
          <w:p w14:paraId="24000000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остановлением администрации муниципального образования Северский муниципальный район Краснодарского края от 04.09.2026 г. № 1498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</w:t>
            </w:r>
            <w:r>
              <w:rPr>
                <w:rFonts w:ascii="Times New Roman" w:hAnsi="Times New Roman"/>
                <w:sz w:val="28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(далее – Постановление администрации № 1498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) </w:t>
            </w:r>
            <w:r>
              <w:rPr>
                <w:rFonts w:ascii="Times New Roman" w:hAnsi="Times New Roman"/>
                <w:color w:val="000000"/>
                <w:sz w:val="28"/>
              </w:rPr>
              <w:t>с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4 сентября 2026 г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редусмотрена новая форма административного регламента предоставления муниципальной услуги.</w:t>
            </w:r>
          </w:p>
        </w:tc>
      </w:tr>
    </w:tbl>
    <w:p w14:paraId="25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26000000">
      <w:pPr>
        <w:widowControl w:val="1"/>
        <w:tabs>
          <w:tab w:leader="none" w:pos="709" w:val="left"/>
          <w:tab w:leader="none" w:pos="1276" w:val="left"/>
          <w:tab w:leader="none" w:pos="1560" w:val="left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Цель проекта</w:t>
      </w:r>
      <w:r>
        <w:rPr>
          <w:rStyle w:val="Style_6_ch"/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предоставление администрацией </w:t>
      </w:r>
      <w:r>
        <w:rPr>
          <w:rFonts w:ascii="Times New Roman" w:hAnsi="Times New Roman"/>
          <w:sz w:val="28"/>
        </w:rPr>
        <w:t>муниципального образования Северский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 </w:t>
      </w:r>
      <w:r>
        <w:rPr>
          <w:rFonts w:ascii="Times New Roman" w:hAnsi="Times New Roman"/>
          <w:color w:themeColor="text1" w:val="000000"/>
          <w:sz w:val="28"/>
        </w:rPr>
        <w:t xml:space="preserve">муниципальной услуги </w:t>
      </w:r>
      <w:r>
        <w:rPr>
          <w:rFonts w:ascii="Times New Roman" w:hAnsi="Times New Roman"/>
          <w:sz w:val="28"/>
        </w:rPr>
        <w:t xml:space="preserve">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color w:themeColor="text1" w:val="000000"/>
          <w:sz w:val="28"/>
        </w:rPr>
        <w:t xml:space="preserve"> соответствии с административным регламентом</w:t>
      </w:r>
      <w:r>
        <w:rPr>
          <w:rFonts w:ascii="Times New Roman" w:hAnsi="Times New Roman"/>
          <w:color w:themeColor="text1" w:val="000000"/>
          <w:sz w:val="28"/>
        </w:rPr>
        <w:t xml:space="preserve">, структура и отдельные положения которого </w:t>
      </w:r>
      <w:r>
        <w:rPr>
          <w:rFonts w:ascii="Times New Roman" w:hAnsi="Times New Roman"/>
          <w:color w:themeColor="text1" w:val="000000"/>
          <w:sz w:val="28"/>
        </w:rPr>
        <w:t>соответствуют требованиям федерального законодательства</w:t>
      </w:r>
      <w:r>
        <w:rPr>
          <w:rFonts w:ascii="Times New Roman" w:hAnsi="Times New Roman"/>
          <w:color w:themeColor="text1" w:val="000000"/>
          <w:sz w:val="28"/>
        </w:rPr>
        <w:t xml:space="preserve"> и п</w:t>
      </w:r>
      <w:r>
        <w:rPr>
          <w:rFonts w:ascii="Times New Roman" w:hAnsi="Times New Roman"/>
          <w:color w:val="000000"/>
          <w:sz w:val="28"/>
        </w:rPr>
        <w:t>остановлению администрации № 1498</w:t>
      </w:r>
      <w:r>
        <w:t>.</w:t>
      </w:r>
    </w:p>
    <w:p w14:paraId="27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contextualSpacing w:val="1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Проект муниципального нормат</w:t>
      </w:r>
      <w:r>
        <w:rPr>
          <w:rFonts w:ascii="Times New Roman" w:hAnsi="Times New Roman"/>
          <w:sz w:val="28"/>
        </w:rPr>
        <w:t>ивного правового акта содержит положения, устанавливающие новые обязанности для субъектов предпринимательской и иной экономической деятельности</w:t>
      </w:r>
      <w:r>
        <w:rPr>
          <w:rFonts w:ascii="Times New Roman" w:hAnsi="Times New Roman"/>
          <w:sz w:val="28"/>
        </w:rPr>
        <w:t>:</w:t>
      </w:r>
    </w:p>
    <w:tbl>
      <w:tblPr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3"/>
        <w:gridCol w:w="130"/>
        <w:gridCol w:w="278"/>
        <w:gridCol w:w="857"/>
        <w:gridCol w:w="253"/>
        <w:gridCol w:w="139"/>
        <w:gridCol w:w="139"/>
        <w:gridCol w:w="312"/>
        <w:gridCol w:w="243"/>
        <w:gridCol w:w="278"/>
        <w:gridCol w:w="139"/>
        <w:gridCol w:w="184"/>
        <w:gridCol w:w="1203"/>
        <w:gridCol w:w="139"/>
        <w:gridCol w:w="416"/>
        <w:gridCol w:w="208"/>
        <w:gridCol w:w="141"/>
        <w:gridCol w:w="900"/>
        <w:gridCol w:w="83"/>
        <w:gridCol w:w="703"/>
        <w:gridCol w:w="141"/>
        <w:gridCol w:w="461"/>
        <w:gridCol w:w="555"/>
        <w:gridCol w:w="139"/>
        <w:gridCol w:w="952"/>
      </w:tblGrid>
      <w:tr>
        <w:tc>
          <w:tcPr>
            <w:tcW w:type="dxa" w:w="9694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целях решения указанной проблемы рассматриваемым проектом постановления предлагается привести </w:t>
            </w:r>
            <w:r>
              <w:rPr>
                <w:rFonts w:ascii="Times New Roman" w:hAnsi="Times New Roman"/>
                <w:sz w:val="28"/>
              </w:rPr>
              <w:t>административн</w:t>
            </w:r>
            <w:r>
              <w:rPr>
                <w:rFonts w:ascii="Times New Roman" w:hAnsi="Times New Roman"/>
                <w:sz w:val="28"/>
              </w:rPr>
              <w:t xml:space="preserve">ый </w:t>
            </w:r>
            <w:r>
              <w:rPr>
                <w:rFonts w:ascii="Times New Roman" w:hAnsi="Times New Roman"/>
                <w:sz w:val="28"/>
              </w:rPr>
              <w:t xml:space="preserve">регламент в соответствие </w:t>
            </w:r>
            <w:r>
              <w:rPr>
                <w:rFonts w:ascii="Times New Roman" w:hAnsi="Times New Roman"/>
                <w:sz w:val="28"/>
              </w:rPr>
              <w:t xml:space="preserve">с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требованиями федерального законодательства,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именно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      </w:r>
          </w:p>
          <w:p w14:paraId="29000000">
            <w:pPr>
              <w:widowControl w:val="1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Административный регламент устанавливает порядок</w:t>
            </w:r>
            <w:r>
              <w:rPr>
                <w:rFonts w:ascii="Times New Roman" w:hAnsi="Times New Roman"/>
                <w:sz w:val="28"/>
              </w:rPr>
              <w:t xml:space="preserve"> и стандарт предоставления </w:t>
            </w:r>
            <w:r>
              <w:rPr>
                <w:rFonts w:ascii="Times New Roman" w:hAnsi="Times New Roman"/>
                <w:sz w:val="28"/>
              </w:rPr>
              <w:t>муниципальной у</w:t>
            </w:r>
            <w:r>
              <w:rPr>
                <w:rFonts w:ascii="Times New Roman" w:hAnsi="Times New Roman"/>
                <w:sz w:val="28"/>
              </w:rPr>
              <w:t>слуги «Предоставление земельного участка, нахо</w:t>
            </w:r>
            <w:r>
              <w:rPr>
                <w:rFonts w:ascii="Times New Roman" w:hAnsi="Times New Roman"/>
                <w:sz w:val="28"/>
              </w:rPr>
              <w:t xml:space="preserve">дящегося в муниципальной собственности, или государственная собственность на </w:t>
            </w:r>
            <w:r>
              <w:rPr>
                <w:rFonts w:ascii="Times New Roman" w:hAnsi="Times New Roman"/>
                <w:sz w:val="28"/>
              </w:rPr>
              <w:t>который не разграничена, на торгах».</w:t>
            </w:r>
          </w:p>
          <w:p w14:paraId="2A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Муниципальная услуга предоставляется </w:t>
            </w:r>
            <w:r>
              <w:rPr>
                <w:rFonts w:ascii="Times New Roman" w:hAnsi="Times New Roman"/>
                <w:sz w:val="28"/>
              </w:rPr>
              <w:t>администрацией муниципального образования Северский</w:t>
            </w:r>
            <w:r>
              <w:rPr>
                <w:rFonts w:ascii="Times New Roman" w:hAnsi="Times New Roman"/>
                <w:sz w:val="28"/>
              </w:rPr>
              <w:t xml:space="preserve"> муниципальный район Краснодарского края</w:t>
            </w:r>
            <w:r>
              <w:rPr>
                <w:rFonts w:ascii="Times New Roman" w:hAnsi="Times New Roman"/>
                <w:sz w:val="28"/>
              </w:rPr>
              <w:t xml:space="preserve"> через отраслевой (функциональный) орган</w:t>
            </w:r>
            <w:r>
              <w:rPr>
                <w:rFonts w:ascii="Times New Roman" w:hAnsi="Times New Roman"/>
                <w:sz w:val="28"/>
              </w:rPr>
              <w:t xml:space="preserve"> – управление</w:t>
            </w:r>
            <w:r>
              <w:rPr>
                <w:rFonts w:ascii="Times New Roman" w:hAnsi="Times New Roman"/>
                <w:sz w:val="28"/>
              </w:rPr>
              <w:t xml:space="preserve"> имущественных отношений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администрации муниципального образования Северский муниципальный район Краснодарского края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2B000000">
            <w:pPr>
              <w:widowControl w:val="1"/>
              <w:tabs>
                <w:tab w:leader="none" w:pos="142" w:val="left"/>
              </w:tabs>
              <w:spacing w:after="0" w:line="240" w:lineRule="auto"/>
              <w:ind w:firstLine="709" w:left="0"/>
              <w:contextualSpacing w:val="1"/>
              <w:jc w:val="both"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Услуга включает в себя 3 подуслуги (цели обращения):</w:t>
            </w:r>
          </w:p>
          <w:p w14:paraId="2C000000">
            <w:pPr>
              <w:widowControl w:val="1"/>
              <w:numPr>
                <w:ilvl w:val="0"/>
                <w:numId w:val="1"/>
              </w:numPr>
              <w:tabs>
                <w:tab w:leader="none" w:pos="142" w:val="left"/>
                <w:tab w:leader="none" w:pos="993" w:val="left"/>
              </w:tabs>
              <w:spacing w:after="0" w:line="240" w:lineRule="auto"/>
              <w:ind w:firstLine="709" w:left="0"/>
              <w:jc w:val="both"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утверждение схемы расположения земельного участка для организации аукциона;</w:t>
            </w:r>
          </w:p>
          <w:p w14:paraId="2D000000">
            <w:pPr>
              <w:widowControl w:val="1"/>
              <w:numPr>
                <w:ilvl w:val="0"/>
                <w:numId w:val="1"/>
              </w:numPr>
              <w:tabs>
                <w:tab w:leader="none" w:pos="142" w:val="left"/>
                <w:tab w:leader="none" w:pos="993" w:val="left"/>
              </w:tabs>
              <w:spacing w:after="0" w:line="240" w:lineRule="auto"/>
              <w:ind w:firstLine="709" w:left="0"/>
              <w:jc w:val="both"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внесение изменений в утвержденную схему расположения земельного участка для организации аукциона;</w:t>
            </w:r>
          </w:p>
          <w:p w14:paraId="2E000000">
            <w:pPr>
              <w:widowControl w:val="1"/>
              <w:numPr>
                <w:ilvl w:val="0"/>
                <w:numId w:val="1"/>
              </w:numPr>
              <w:tabs>
                <w:tab w:leader="none" w:pos="142" w:val="left"/>
                <w:tab w:leader="none" w:pos="993" w:val="left"/>
              </w:tabs>
              <w:spacing w:after="0" w:line="240" w:lineRule="auto"/>
              <w:ind w:firstLine="709" w:left="0"/>
              <w:jc w:val="both"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организация аукциона на право заключения договора аренды или купли-продажи земельного участка.</w:t>
            </w:r>
          </w:p>
        </w:tc>
      </w:tr>
    </w:tbl>
    <w:p w14:paraId="2F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contextualSpacing w:val="1"/>
        <w:jc w:val="both"/>
        <w:outlineLvl w:val="0"/>
        <w:rPr>
          <w:rFonts w:ascii="Times New Roman" w:hAnsi="Times New Roman"/>
          <w:sz w:val="28"/>
        </w:rPr>
      </w:pPr>
    </w:p>
    <w:p w14:paraId="30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>Риски недостижения целей правового регулирования отсутствуют</w:t>
      </w:r>
      <w:r>
        <w:rPr>
          <w:rFonts w:ascii="Times New Roman" w:hAnsi="Times New Roman"/>
          <w:sz w:val="28"/>
        </w:rPr>
        <w:t>.</w:t>
      </w:r>
    </w:p>
    <w:p w14:paraId="31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>Дополнительные расходы местного бюджета (бюджета муниципального образования Северский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) в связи с принятием </w:t>
      </w:r>
      <w:r>
        <w:rPr>
          <w:rFonts w:ascii="Times New Roman" w:hAnsi="Times New Roman"/>
          <w:sz w:val="28"/>
        </w:rPr>
        <w:t xml:space="preserve">планируемого правового регулирования не </w:t>
      </w:r>
      <w:r>
        <w:rPr>
          <w:rFonts w:ascii="Times New Roman" w:hAnsi="Times New Roman"/>
          <w:sz w:val="28"/>
        </w:rPr>
        <w:t>предусмотрены.</w:t>
      </w:r>
    </w:p>
    <w:p w14:paraId="32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Расходы потенциальных адресатов предлагаемого правового регулирования, предполагаются в виде информационных издержек на подготовку и представление заявления 1</w:t>
      </w:r>
      <w:r>
        <w:rPr>
          <w:rFonts w:ascii="Times New Roman" w:hAnsi="Times New Roman"/>
          <w:sz w:val="28"/>
        </w:rPr>
        <w:t>609</w:t>
      </w:r>
      <w:r>
        <w:rPr>
          <w:rFonts w:ascii="Times New Roman" w:hAnsi="Times New Roman"/>
          <w:sz w:val="28"/>
        </w:rPr>
        <w:t>,08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рублей в расчете на 1 заявителя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33000000">
      <w:pPr>
        <w:widowControl w:val="1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вышеуказанной суммы затрат произведен с использованием калькулятора расчета стандартных издержек (</w:t>
      </w:r>
      <w:r>
        <w:rPr>
          <w:rFonts w:ascii="Times New Roman" w:hAnsi="Times New Roman"/>
          <w:sz w:val="28"/>
        </w:rPr>
        <w:t>regulation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gov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 xml:space="preserve">) в случае </w:t>
      </w:r>
      <w:r>
        <w:rPr>
          <w:rFonts w:ascii="Times New Roman" w:hAnsi="Times New Roman"/>
          <w:sz w:val="28"/>
        </w:rPr>
        <w:t xml:space="preserve">обращения </w:t>
      </w:r>
      <w:r>
        <w:rPr>
          <w:rFonts w:ascii="Times New Roman" w:hAnsi="Times New Roman"/>
          <w:sz w:val="28"/>
        </w:rPr>
        <w:t>заявител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за муниципальной услугой</w:t>
      </w:r>
      <w:r>
        <w:rPr>
          <w:rFonts w:ascii="Times New Roman" w:hAnsi="Times New Roman"/>
          <w:sz w:val="28"/>
        </w:rPr>
        <w:t>.</w:t>
      </w:r>
    </w:p>
    <w:p w14:paraId="34000000">
      <w:pPr>
        <w:widowControl w:val="1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издержек на подготовку и представление запроса и документов:</w:t>
      </w:r>
    </w:p>
    <w:p w14:paraId="3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color w:themeColor="text1" w:val="000000"/>
          <w:sz w:val="28"/>
        </w:rPr>
        <w:t>Расчет издержек на подготовку и представление запроса и документов:</w:t>
      </w:r>
    </w:p>
    <w:p w14:paraId="36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раздел требования: информационное;</w:t>
      </w:r>
    </w:p>
    <w:p w14:paraId="37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информационный элемент: подача заявления на предоставление муниципальной услуги;</w:t>
      </w:r>
    </w:p>
    <w:p w14:paraId="38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тип элемента: документы, составленные для передачи органам власти;</w:t>
      </w:r>
    </w:p>
    <w:p w14:paraId="39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частота: 1 ед.</w:t>
      </w:r>
    </w:p>
    <w:p w14:paraId="3A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Действия:</w:t>
      </w:r>
    </w:p>
    <w:p w14:paraId="3B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написание  документа низкого уровня сложности  – 1 чел./часов;</w:t>
      </w:r>
    </w:p>
    <w:p w14:paraId="3C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копирование документов – 1,00 чел./часов;</w:t>
      </w:r>
    </w:p>
    <w:p w14:paraId="3D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Подача заявления – 1 чел./час.</w:t>
      </w:r>
    </w:p>
    <w:p w14:paraId="3E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Затраты на расходные материалы и канцелярские товары – 100,00 руб.</w:t>
      </w:r>
    </w:p>
    <w:p w14:paraId="3F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Среднемесячная заработная плата в муниципальном образовании Северский муниципальный район Краснодарского края (2026 г.): 101 752 руб.</w:t>
      </w:r>
    </w:p>
    <w:p w14:paraId="40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Средняя стоимость часа работы: 618 руб.</w:t>
      </w:r>
    </w:p>
    <w:p w14:paraId="41000000">
      <w:pPr>
        <w:widowControl w:val="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Стоимость требования: 1 609,08 руб. в расчете на 1 заявителя</w:t>
      </w:r>
    </w:p>
    <w:p w14:paraId="42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r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 xml:space="preserve"> Порядком</w:t>
      </w:r>
      <w:r>
        <w:rPr>
          <w:rFonts w:ascii="Times New Roman" w:hAnsi="Times New Roman"/>
          <w:sz w:val="28"/>
        </w:rPr>
        <w:t xml:space="preserve"> уполномоченный орган провел публичные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консультации по проекту в период 2.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 xml:space="preserve"> по 15</w:t>
      </w:r>
      <w:r>
        <w:rPr>
          <w:rFonts w:ascii="Times New Roman" w:hAnsi="Times New Roman"/>
          <w:sz w:val="28"/>
        </w:rPr>
        <w:t>.09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.</w:t>
      </w:r>
    </w:p>
    <w:p w14:paraId="43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Информация о проводимых публичных консультациях была размещена на официальном </w:t>
      </w:r>
      <w:r>
        <w:rPr>
          <w:rFonts w:ascii="Times New Roman" w:hAnsi="Times New Roman"/>
          <w:sz w:val="28"/>
        </w:rPr>
        <w:t>сайте</w:t>
      </w:r>
      <w:r>
        <w:rPr>
          <w:rFonts w:ascii="Times New Roman" w:hAnsi="Times New Roman"/>
          <w:sz w:val="28"/>
        </w:rPr>
        <w:t xml:space="preserve"> 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 район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www.</w:t>
      </w:r>
      <w:r>
        <w:rPr>
          <w:rFonts w:ascii="Times New Roman" w:hAnsi="Times New Roman"/>
          <w:sz w:val="28"/>
        </w:rPr>
        <w:t>sevadm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>), прямая ссылка на</w:t>
      </w:r>
      <w:r>
        <w:rPr>
          <w:rFonts w:ascii="Times New Roman" w:hAnsi="Times New Roman"/>
          <w:sz w:val="28"/>
        </w:rPr>
        <w:t xml:space="preserve"> уведомление </w:t>
      </w:r>
    </w:p>
    <w:p w14:paraId="44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7_ch"/>
          <w:rFonts w:ascii="Times New Roman" w:hAnsi="Times New Roman"/>
          <w:sz w:val="28"/>
        </w:rPr>
        <w:fldChar w:fldCharType="begin"/>
      </w:r>
      <w:r>
        <w:rPr>
          <w:rStyle w:val="Style_7_ch"/>
          <w:rFonts w:ascii="Times New Roman" w:hAnsi="Times New Roman"/>
          <w:sz w:val="28"/>
        </w:rPr>
        <w:instrText>HYPERLINK "https://sevadm.ru/administratsiya/strukturnye-podrazdeleniya-administratsii/upravlenie-ekonomiki-investitsiy-i-prognozirovaniya/otsenka-reguliruyushchego-vozdeystviya/uvedomleniya-o-provedenii-publichnykh-konsultatsiy/e-136919.html"</w:instrText>
      </w:r>
      <w:r>
        <w:rPr>
          <w:rStyle w:val="Style_7_ch"/>
          <w:rFonts w:ascii="Times New Roman" w:hAnsi="Times New Roman"/>
          <w:sz w:val="28"/>
        </w:rPr>
        <w:fldChar w:fldCharType="separate"/>
      </w:r>
      <w:r>
        <w:rPr>
          <w:rStyle w:val="Style_7_ch"/>
          <w:rFonts w:ascii="Times New Roman" w:hAnsi="Times New Roman"/>
          <w:sz w:val="28"/>
        </w:rPr>
        <w:t>https://sevadm.ru/administratsiya/strukturnye-podrazdeleniya-administratsii/upravlenie-ekonomiki-investitsiy-i-prognozirovaniya/otsenka-reguliruyushchego-vozdeystviya/uvedomleniya-o-provedenii-publichnykh-konsultatsiy/e-136919.html</w:t>
      </w:r>
      <w:r>
        <w:rPr>
          <w:rStyle w:val="Style_7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.</w:t>
      </w:r>
      <w:r>
        <w:rPr>
          <w:rStyle w:val="Style_5_ch"/>
          <w:rFonts w:ascii="Times New Roman" w:hAnsi="Times New Roman"/>
          <w:sz w:val="28"/>
        </w:rPr>
        <w:t xml:space="preserve">  </w:t>
      </w:r>
    </w:p>
    <w:p w14:paraId="45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 </w:t>
      </w:r>
      <w:r>
        <w:rPr>
          <w:rFonts w:ascii="Times New Roman" w:hAnsi="Times New Roman"/>
          <w:sz w:val="28"/>
        </w:rPr>
        <w:t>также</w:t>
      </w:r>
      <w:r>
        <w:rPr>
          <w:rFonts w:ascii="Times New Roman" w:hAnsi="Times New Roman"/>
          <w:sz w:val="28"/>
        </w:rPr>
        <w:t xml:space="preserve"> уведомление о публичных консультациях и проект постановления были направлены участникам публичных консультаций, с кем заключены соглашения о взаимодействии при </w:t>
      </w:r>
      <w:r>
        <w:rPr>
          <w:rFonts w:ascii="Times New Roman" w:hAnsi="Times New Roman"/>
          <w:sz w:val="28"/>
        </w:rPr>
        <w:t xml:space="preserve">проведении процедур ОРВ и экспертизы: </w:t>
      </w:r>
    </w:p>
    <w:p w14:paraId="46000000">
      <w:pPr>
        <w:pStyle w:val="Style_8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Уполномоченный по защите прав предпринимателей в Северском районе </w:t>
      </w:r>
      <w:r>
        <w:rPr>
          <w:sz w:val="28"/>
        </w:rPr>
        <w:t>П</w:t>
      </w:r>
      <w:r>
        <w:rPr>
          <w:sz w:val="28"/>
        </w:rPr>
        <w:t>о</w:t>
      </w:r>
      <w:r>
        <w:rPr>
          <w:sz w:val="28"/>
        </w:rPr>
        <w:t>лянский С.В</w:t>
      </w:r>
      <w:r>
        <w:rPr>
          <w:sz w:val="28"/>
        </w:rPr>
        <w:t>.;</w:t>
      </w:r>
    </w:p>
    <w:p w14:paraId="47000000">
      <w:pPr>
        <w:pStyle w:val="Style_8"/>
        <w:widowControl w:val="1"/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Северская районная организация общероссийской общественной организации Профессионального союза работников агропромышленного комплекса Российской Федерации;</w:t>
      </w:r>
    </w:p>
    <w:p w14:paraId="48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Индивидуальный предприниматель Александр Иванович Предзиглей (председатель постоянной комиссии Совета муниципального образования Северский район по вопросам экономики и</w:t>
      </w:r>
      <w:r>
        <w:rPr>
          <w:rFonts w:ascii="Times New Roman" w:hAnsi="Times New Roman"/>
          <w:sz w:val="28"/>
        </w:rPr>
        <w:t xml:space="preserve"> бюджета, общественный деятель);</w:t>
      </w:r>
    </w:p>
    <w:p w14:paraId="49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Кунгурцев Михаил Александр</w:t>
      </w:r>
      <w:r>
        <w:rPr>
          <w:rFonts w:ascii="Times New Roman" w:hAnsi="Times New Roman"/>
          <w:sz w:val="28"/>
        </w:rPr>
        <w:t>ович, депутат Афипского городского поселения, общественный деятель, финалист краевого конкурса «Лидеры Кубани»</w:t>
      </w:r>
      <w:r>
        <w:rPr>
          <w:rFonts w:ascii="Times New Roman" w:hAnsi="Times New Roman"/>
          <w:sz w:val="28"/>
        </w:rPr>
        <w:t>;</w:t>
      </w:r>
    </w:p>
    <w:p w14:paraId="4A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лауреат краевого конкурса «Лидеры Кубани» </w:t>
      </w:r>
      <w:r>
        <w:rPr>
          <w:rFonts w:ascii="Times New Roman" w:hAnsi="Times New Roman"/>
          <w:sz w:val="28"/>
        </w:rPr>
        <w:t>Пасечник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Евгений Геронтович</w:t>
      </w:r>
      <w:r>
        <w:rPr>
          <w:rFonts w:ascii="Times New Roman" w:hAnsi="Times New Roman"/>
          <w:sz w:val="28"/>
        </w:rPr>
        <w:t>.</w:t>
      </w:r>
    </w:p>
    <w:p w14:paraId="4B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Директор ООО «Кубаньэлектромаш», Член совета директоров ассоциации производителей сельскохозяйственной техники и оборудования АПК Краснодарского края Резник Тимофей Олегович.</w:t>
      </w:r>
    </w:p>
    <w:p w14:paraId="4C000000">
      <w:pPr>
        <w:pStyle w:val="Style_3"/>
        <w:widowControl w:val="1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9. </w:t>
      </w:r>
      <w:r>
        <w:rPr>
          <w:rFonts w:ascii="Times New Roman" w:hAnsi="Times New Roman"/>
          <w:sz w:val="28"/>
        </w:rPr>
        <w:t xml:space="preserve">В ходе публичных консультаций </w:t>
      </w:r>
      <w:r>
        <w:rPr>
          <w:rFonts w:ascii="Times New Roman" w:hAnsi="Times New Roman"/>
          <w:sz w:val="28"/>
        </w:rPr>
        <w:t xml:space="preserve">замечаний не </w:t>
      </w:r>
      <w:r>
        <w:rPr>
          <w:rFonts w:ascii="Times New Roman" w:hAnsi="Times New Roman"/>
          <w:sz w:val="28"/>
        </w:rPr>
        <w:t>поступило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4D000000">
      <w:pPr>
        <w:pStyle w:val="Style_4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результатам проведения оценки регулирующего воздействия проекта постановления админис</w:t>
      </w:r>
      <w:r>
        <w:rPr>
          <w:rFonts w:ascii="Times New Roman" w:hAnsi="Times New Roman"/>
          <w:sz w:val="28"/>
        </w:rPr>
        <w:t>трации муниципального образования Северский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rFonts w:ascii="Times New Roman" w:hAnsi="Times New Roman"/>
          <w:sz w:val="28"/>
        </w:rPr>
        <w:t>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ожно сделать вывод об отсутствии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проекте </w:t>
      </w:r>
      <w:r>
        <w:rPr>
          <w:rFonts w:ascii="Times New Roman" w:hAnsi="Times New Roman"/>
          <w:sz w:val="28"/>
        </w:rPr>
        <w:t xml:space="preserve">данного </w:t>
      </w:r>
      <w:r>
        <w:rPr>
          <w:rFonts w:ascii="Times New Roman" w:hAnsi="Times New Roman"/>
          <w:sz w:val="28"/>
        </w:rPr>
        <w:t>муниципального нормативного правового акта положений, вводящих избыточные административн</w:t>
      </w:r>
      <w:r>
        <w:rPr>
          <w:rFonts w:ascii="Times New Roman" w:hAnsi="Times New Roman"/>
          <w:sz w:val="28"/>
        </w:rPr>
        <w:t xml:space="preserve">ые обязанности, запреты и ограничения для </w:t>
      </w:r>
      <w:r>
        <w:rPr>
          <w:rFonts w:ascii="Times New Roman" w:hAnsi="Times New Roman"/>
          <w:sz w:val="28"/>
        </w:rPr>
        <w:t xml:space="preserve">субъектов </w:t>
      </w:r>
      <w:r>
        <w:rPr>
          <w:rFonts w:ascii="Times New Roman" w:hAnsi="Times New Roman"/>
          <w:sz w:val="28"/>
        </w:rPr>
        <w:t>предпринимательской и</w:t>
      </w:r>
      <w:r>
        <w:rPr>
          <w:rFonts w:ascii="Times New Roman" w:hAnsi="Times New Roman"/>
          <w:sz w:val="28"/>
        </w:rPr>
        <w:t xml:space="preserve"> иной экономической деятельности, субъектов</w:t>
      </w:r>
      <w:r>
        <w:rPr>
          <w:rFonts w:ascii="Times New Roman" w:hAnsi="Times New Roman"/>
          <w:sz w:val="28"/>
        </w:rPr>
        <w:t xml:space="preserve">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, способствующих возникновению необоснованных расходов </w:t>
      </w:r>
      <w:r>
        <w:rPr>
          <w:rFonts w:ascii="Times New Roman" w:hAnsi="Times New Roman"/>
          <w:sz w:val="28"/>
        </w:rPr>
        <w:t xml:space="preserve">субъектов </w:t>
      </w:r>
      <w:r>
        <w:rPr>
          <w:rFonts w:ascii="Times New Roman" w:hAnsi="Times New Roman"/>
          <w:sz w:val="28"/>
        </w:rPr>
        <w:t xml:space="preserve">предпринимательской и </w:t>
      </w:r>
      <w:r>
        <w:rPr>
          <w:rFonts w:ascii="Times New Roman" w:hAnsi="Times New Roman"/>
          <w:sz w:val="28"/>
        </w:rPr>
        <w:t xml:space="preserve">иной экономической деятельности, субъектов </w:t>
      </w:r>
      <w:r>
        <w:rPr>
          <w:rFonts w:ascii="Times New Roman" w:hAnsi="Times New Roman"/>
          <w:sz w:val="28"/>
        </w:rPr>
        <w:t xml:space="preserve">инвестиционной деятельности, а также необоснованных расходов </w:t>
      </w:r>
      <w:r>
        <w:rPr>
          <w:rFonts w:ascii="Times New Roman" w:hAnsi="Times New Roman"/>
          <w:sz w:val="28"/>
        </w:rPr>
        <w:t>районного</w:t>
      </w:r>
      <w:r>
        <w:rPr>
          <w:rFonts w:ascii="Times New Roman" w:hAnsi="Times New Roman"/>
          <w:sz w:val="28"/>
        </w:rPr>
        <w:t xml:space="preserve"> бюджет</w:t>
      </w:r>
      <w:r>
        <w:rPr>
          <w:rFonts w:ascii="Times New Roman" w:hAnsi="Times New Roman"/>
          <w:sz w:val="28"/>
        </w:rPr>
        <w:t xml:space="preserve">а (бюджета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>).</w:t>
      </w:r>
    </w:p>
    <w:p w14:paraId="4E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</w:p>
    <w:p w14:paraId="4F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</w:t>
      </w:r>
    </w:p>
    <w:p w14:paraId="50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</w:p>
    <w:p w14:paraId="51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ачальник </w:t>
      </w:r>
    </w:p>
    <w:p w14:paraId="52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управления экономики,</w:t>
      </w:r>
    </w:p>
    <w:p w14:paraId="53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инвестиций и прогнозирования</w:t>
      </w:r>
      <w:r>
        <w:rPr>
          <w:rFonts w:ascii="Times New Roman" w:hAnsi="Times New Roman"/>
          <w:sz w:val="28"/>
        </w:rPr>
        <w:t xml:space="preserve">                                         </w:t>
      </w:r>
      <w:r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С.А. Мартынов</w:t>
      </w:r>
      <w:r>
        <w:rPr>
          <w:rFonts w:ascii="Times New Roman" w:hAnsi="Times New Roman"/>
          <w:sz w:val="28"/>
        </w:rPr>
        <w:t xml:space="preserve"> </w:t>
      </w:r>
    </w:p>
    <w:sectPr>
      <w:headerReference r:id="rId1" w:type="default"/>
      <w:pgSz w:h="16838" w:orient="portrait" w:w="11905"/>
      <w:pgMar w:bottom="1135" w:footer="720" w:gutter="0" w:header="720" w:left="1644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lvlJc w:val="left"/>
      <w:pPr>
        <w:widowControl w:val="1"/>
        <w:ind w:hanging="360" w:left="1648"/>
      </w:pPr>
      <w:rPr>
        <w:i w:val="0"/>
        <w:color w:val="000000"/>
      </w:rPr>
    </w:lvl>
    <w:lvl w:ilvl="1">
      <w:start w:val="1"/>
      <w:numFmt w:val="lowerLetter"/>
      <w:lvlText w:val="%2."/>
      <w:lvlJc w:val="left"/>
      <w:pPr>
        <w:widowControl w:val="1"/>
        <w:ind w:hanging="360" w:left="2368"/>
      </w:pPr>
    </w:lvl>
    <w:lvl w:ilvl="2">
      <w:start w:val="1"/>
      <w:numFmt w:val="lowerRoman"/>
      <w:lvlText w:val="%3."/>
      <w:lvlJc w:val="right"/>
      <w:pPr>
        <w:widowControl w:val="1"/>
        <w:ind w:hanging="180" w:left="3088"/>
      </w:pPr>
    </w:lvl>
    <w:lvl w:ilvl="3">
      <w:start w:val="1"/>
      <w:numFmt w:val="decimal"/>
      <w:lvlText w:val="%4."/>
      <w:lvlJc w:val="left"/>
      <w:pPr>
        <w:widowControl w:val="1"/>
        <w:ind w:hanging="360" w:left="3808"/>
      </w:pPr>
    </w:lvl>
    <w:lvl w:ilvl="4">
      <w:start w:val="1"/>
      <w:numFmt w:val="lowerLetter"/>
      <w:lvlText w:val="%5."/>
      <w:lvlJc w:val="left"/>
      <w:pPr>
        <w:widowControl w:val="1"/>
        <w:ind w:hanging="360" w:left="4528"/>
      </w:pPr>
    </w:lvl>
    <w:lvl w:ilvl="5">
      <w:start w:val="1"/>
      <w:numFmt w:val="lowerRoman"/>
      <w:lvlText w:val="%6."/>
      <w:lvlJc w:val="right"/>
      <w:pPr>
        <w:widowControl w:val="1"/>
        <w:ind w:hanging="180" w:left="5248"/>
      </w:pPr>
    </w:lvl>
    <w:lvl w:ilvl="6">
      <w:start w:val="1"/>
      <w:numFmt w:val="decimal"/>
      <w:lvlText w:val="%7."/>
      <w:lvlJc w:val="left"/>
      <w:pPr>
        <w:widowControl w:val="1"/>
        <w:ind w:hanging="360" w:left="5968"/>
      </w:pPr>
    </w:lvl>
    <w:lvl w:ilvl="7">
      <w:start w:val="1"/>
      <w:numFmt w:val="lowerLetter"/>
      <w:lvlText w:val="%8."/>
      <w:lvlJc w:val="left"/>
      <w:pPr>
        <w:widowControl w:val="1"/>
        <w:ind w:hanging="360" w:left="6688"/>
      </w:pPr>
    </w:lvl>
    <w:lvl w:ilvl="8">
      <w:start w:val="1"/>
      <w:numFmt w:val="lowerRoman"/>
      <w:lvlText w:val="%9."/>
      <w:lvlJc w:val="right"/>
      <w:pPr>
        <w:widowControl w:val="1"/>
        <w:ind w:hanging="180" w:left="7408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6_ch" w:type="character">
    <w:name w:val="Normal"/>
    <w:link w:val="Style_6"/>
    <w:rPr>
      <w:sz w:val="22"/>
    </w:rPr>
  </w:style>
  <w:style w:styleId="Style_9" w:type="paragraph">
    <w:name w:val="toc 2"/>
    <w:next w:val="Style_6"/>
    <w:link w:val="Style_9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6"/>
    <w:link w:val="Style_10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Прижатый влево"/>
    <w:basedOn w:val="Style_6"/>
    <w:next w:val="Style_6"/>
    <w:link w:val="Style_11_ch"/>
    <w:pPr>
      <w:widowControl w:val="1"/>
      <w:spacing w:after="0" w:line="240" w:lineRule="auto"/>
      <w:ind/>
    </w:pPr>
    <w:rPr>
      <w:rFonts w:ascii="Cambria Math" w:hAnsi="Cambria Math"/>
      <w:sz w:val="24"/>
    </w:rPr>
  </w:style>
  <w:style w:styleId="Style_11_ch" w:type="character">
    <w:name w:val="Прижатый влево"/>
    <w:basedOn w:val="Style_6_ch"/>
    <w:link w:val="Style_11"/>
    <w:rPr>
      <w:rFonts w:ascii="Cambria Math" w:hAnsi="Cambria Math"/>
      <w:sz w:val="24"/>
    </w:rPr>
  </w:style>
  <w:style w:styleId="Style_12" w:type="paragraph">
    <w:name w:val="ConsPlusCell"/>
    <w:link w:val="Style_12_ch"/>
    <w:pPr>
      <w:widowControl w:val="0"/>
      <w:ind/>
    </w:pPr>
    <w:rPr>
      <w:sz w:val="22"/>
    </w:rPr>
  </w:style>
  <w:style w:styleId="Style_12_ch" w:type="character">
    <w:name w:val="ConsPlusCell"/>
    <w:link w:val="Style_12"/>
    <w:rPr>
      <w:sz w:val="22"/>
    </w:rPr>
  </w:style>
  <w:style w:styleId="Style_13" w:type="paragraph">
    <w:name w:val="footer"/>
    <w:basedOn w:val="Style_6"/>
    <w:link w:val="Style_1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3_ch" w:type="character">
    <w:name w:val="footer"/>
    <w:basedOn w:val="Style_6_ch"/>
    <w:link w:val="Style_13"/>
  </w:style>
  <w:style w:styleId="Style_14" w:type="paragraph">
    <w:name w:val="toc 6"/>
    <w:next w:val="Style_6"/>
    <w:link w:val="Style_1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6"/>
    <w:link w:val="Style_1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End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Endnote"/>
    <w:link w:val="Style_16"/>
    <w:rPr>
      <w:rFonts w:ascii="XO Thames" w:hAnsi="XO Thames"/>
      <w:sz w:val="22"/>
    </w:rPr>
  </w:style>
  <w:style w:styleId="Style_17" w:type="paragraph">
    <w:name w:val="heading 3"/>
    <w:next w:val="Style_6"/>
    <w:link w:val="Style_1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7_ch" w:type="character">
    <w:name w:val="heading 3"/>
    <w:link w:val="Style_17"/>
    <w:rPr>
      <w:rFonts w:ascii="XO Thames" w:hAnsi="XO Thames"/>
      <w:b w:val="1"/>
      <w:sz w:val="26"/>
    </w:rPr>
  </w:style>
  <w:style w:styleId="Style_18" w:type="paragraph">
    <w:name w:val="Balloon Text"/>
    <w:basedOn w:val="Style_6"/>
    <w:link w:val="Style_18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8_ch" w:type="character">
    <w:name w:val="Balloon Text"/>
    <w:basedOn w:val="Style_6_ch"/>
    <w:link w:val="Style_18"/>
    <w:rPr>
      <w:rFonts w:ascii="Segoe UI" w:hAnsi="Segoe UI"/>
      <w:sz w:val="18"/>
    </w:rPr>
  </w:style>
  <w:style w:styleId="Style_19" w:type="paragraph">
    <w:name w:val="Основной текст 31"/>
    <w:basedOn w:val="Style_6"/>
    <w:link w:val="Style_19_ch"/>
    <w:pPr>
      <w:widowControl w:val="1"/>
      <w:spacing w:after="0" w:line="240" w:lineRule="auto"/>
      <w:ind/>
      <w:jc w:val="center"/>
    </w:pPr>
    <w:rPr>
      <w:rFonts w:ascii="Times New Roman" w:hAnsi="Times New Roman"/>
      <w:sz w:val="28"/>
    </w:rPr>
  </w:style>
  <w:style w:styleId="Style_19_ch" w:type="character">
    <w:name w:val="Основной текст 31"/>
    <w:basedOn w:val="Style_6_ch"/>
    <w:link w:val="Style_19"/>
    <w:rPr>
      <w:rFonts w:ascii="Times New Roman" w:hAnsi="Times New Roman"/>
      <w:sz w:val="28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5" w:type="paragraph">
    <w:name w:val="ConsPlusNormal"/>
    <w:link w:val="Style_5_ch"/>
    <w:pPr>
      <w:widowControl w:val="0"/>
      <w:ind/>
    </w:pPr>
    <w:rPr>
      <w:sz w:val="22"/>
    </w:rPr>
  </w:style>
  <w:style w:styleId="Style_5_ch" w:type="character">
    <w:name w:val="ConsPlusNormal"/>
    <w:link w:val="Style_5"/>
    <w:rPr>
      <w:sz w:val="22"/>
    </w:rPr>
  </w:style>
  <w:style w:styleId="Style_20" w:type="paragraph">
    <w:name w:val="toc 3"/>
    <w:next w:val="Style_6"/>
    <w:link w:val="Style_2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1" w:type="paragraph">
    <w:name w:val="ConsPlusTitle"/>
    <w:link w:val="Style_21_ch"/>
    <w:pPr>
      <w:widowControl w:val="0"/>
      <w:ind/>
    </w:pPr>
    <w:rPr>
      <w:b w:val="1"/>
      <w:sz w:val="22"/>
    </w:rPr>
  </w:style>
  <w:style w:styleId="Style_21_ch" w:type="character">
    <w:name w:val="ConsPlusTitle"/>
    <w:link w:val="Style_21"/>
    <w:rPr>
      <w:b w:val="1"/>
      <w:sz w:val="22"/>
    </w:rPr>
  </w:style>
  <w:style w:styleId="Style_22" w:type="paragraph">
    <w:name w:val="Body Text"/>
    <w:basedOn w:val="Style_6"/>
    <w:link w:val="Style_22_ch"/>
    <w:pPr>
      <w:widowControl w:val="1"/>
      <w:spacing w:after="120"/>
      <w:ind/>
    </w:pPr>
  </w:style>
  <w:style w:styleId="Style_22_ch" w:type="character">
    <w:name w:val="Body Text"/>
    <w:basedOn w:val="Style_6_ch"/>
    <w:link w:val="Style_22"/>
  </w:style>
  <w:style w:styleId="Style_4" w:type="paragraph">
    <w:name w:val="No Spacing"/>
    <w:link w:val="Style_4_ch"/>
    <w:rPr>
      <w:sz w:val="22"/>
    </w:rPr>
  </w:style>
  <w:style w:styleId="Style_4_ch" w:type="character">
    <w:name w:val="No Spacing"/>
    <w:link w:val="Style_4"/>
    <w:rPr>
      <w:sz w:val="22"/>
    </w:rPr>
  </w:style>
  <w:style w:styleId="Style_23" w:type="paragraph">
    <w:name w:val="heading 5"/>
    <w:next w:val="Style_6"/>
    <w:link w:val="Style_2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24" w:type="paragraph">
    <w:name w:val="heading 1"/>
    <w:next w:val="Style_6"/>
    <w:link w:val="Style_2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4_ch" w:type="character">
    <w:name w:val="heading 1"/>
    <w:link w:val="Style_24"/>
    <w:rPr>
      <w:rFonts w:ascii="XO Thames" w:hAnsi="XO Thames"/>
      <w:b w:val="1"/>
      <w:sz w:val="32"/>
    </w:rPr>
  </w:style>
  <w:style w:styleId="Style_25" w:type="paragraph">
    <w:name w:val="FollowedHyperlink"/>
    <w:link w:val="Style_25_ch"/>
    <w:rPr>
      <w:color w:val="800080"/>
      <w:u w:val="single"/>
    </w:rPr>
  </w:style>
  <w:style w:styleId="Style_25_ch" w:type="character">
    <w:name w:val="FollowedHyperlink"/>
    <w:link w:val="Style_25"/>
    <w:rPr>
      <w:color w:val="800080"/>
      <w:u w:val="single"/>
    </w:rPr>
  </w:style>
  <w:style w:styleId="Style_26" w:type="paragraph">
    <w:name w:val="Основной шрифт абзаца1"/>
    <w:link w:val="Style_26_ch"/>
  </w:style>
  <w:style w:styleId="Style_26_ch" w:type="character">
    <w:name w:val="Основной шрифт абзаца1"/>
    <w:link w:val="Style_26"/>
  </w:style>
  <w:style w:styleId="Style_7" w:type="paragraph">
    <w:name w:val="Hyperlink"/>
    <w:link w:val="Style_7_ch"/>
    <w:rPr>
      <w:color w:val="0000FF"/>
      <w:u w:val="single"/>
    </w:rPr>
  </w:style>
  <w:style w:styleId="Style_7_ch" w:type="character">
    <w:name w:val="Hyperlink"/>
    <w:link w:val="Style_7"/>
    <w:rPr>
      <w:color w:val="0000FF"/>
      <w:u w:val="single"/>
    </w:rPr>
  </w:style>
  <w:style w:styleId="Style_27" w:type="paragraph">
    <w:name w:val="Footnote"/>
    <w:link w:val="Style_2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7_ch" w:type="character">
    <w:name w:val="Footnote"/>
    <w:link w:val="Style_27"/>
    <w:rPr>
      <w:rFonts w:ascii="XO Thames" w:hAnsi="XO Thames"/>
      <w:sz w:val="22"/>
    </w:rPr>
  </w:style>
  <w:style w:styleId="Style_28" w:type="paragraph">
    <w:name w:val="toc 1"/>
    <w:next w:val="Style_6"/>
    <w:link w:val="Style_2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Header and Footer"/>
    <w:link w:val="Style_2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9_ch" w:type="character">
    <w:name w:val="Header and Footer"/>
    <w:link w:val="Style_29"/>
    <w:rPr>
      <w:rFonts w:ascii="XO Thames" w:hAnsi="XO Thames"/>
      <w:sz w:val="28"/>
    </w:rPr>
  </w:style>
  <w:style w:styleId="Style_8" w:type="paragraph">
    <w:name w:val="Standard"/>
    <w:link w:val="Style_8_ch"/>
    <w:pPr>
      <w:widowControl w:val="0"/>
      <w:ind/>
    </w:pPr>
    <w:rPr>
      <w:rFonts w:ascii="Times New Roman" w:hAnsi="Times New Roman"/>
      <w:sz w:val="24"/>
    </w:rPr>
  </w:style>
  <w:style w:styleId="Style_8_ch" w:type="character">
    <w:name w:val="Standard"/>
    <w:link w:val="Style_8"/>
    <w:rPr>
      <w:rFonts w:ascii="Times New Roman" w:hAnsi="Times New Roman"/>
      <w:sz w:val="24"/>
    </w:rPr>
  </w:style>
  <w:style w:styleId="Style_30" w:type="paragraph">
    <w:name w:val=".FORMATTEXT"/>
    <w:link w:val="Style_30_ch"/>
    <w:pPr>
      <w:widowControl w:val="0"/>
      <w:ind/>
    </w:pPr>
    <w:rPr>
      <w:rFonts w:ascii="Arial" w:hAnsi="Arial"/>
    </w:rPr>
  </w:style>
  <w:style w:styleId="Style_30_ch" w:type="character">
    <w:name w:val=".FORMATTEXT"/>
    <w:link w:val="Style_30"/>
    <w:rPr>
      <w:rFonts w:ascii="Arial" w:hAnsi="Arial"/>
    </w:rPr>
  </w:style>
  <w:style w:styleId="Style_31" w:type="paragraph">
    <w:name w:val="toc 9"/>
    <w:next w:val="Style_6"/>
    <w:link w:val="Style_3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1_ch" w:type="character">
    <w:name w:val="toc 9"/>
    <w:link w:val="Style_31"/>
    <w:rPr>
      <w:rFonts w:ascii="XO Thames" w:hAnsi="XO Thames"/>
      <w:sz w:val="28"/>
    </w:rPr>
  </w:style>
  <w:style w:styleId="Style_32" w:type="paragraph">
    <w:name w:val="toc 8"/>
    <w:next w:val="Style_6"/>
    <w:link w:val="Style_3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2_ch" w:type="character">
    <w:name w:val="toc 8"/>
    <w:link w:val="Style_32"/>
    <w:rPr>
      <w:rFonts w:ascii="XO Thames" w:hAnsi="XO Thames"/>
      <w:sz w:val="28"/>
    </w:rPr>
  </w:style>
  <w:style w:styleId="Style_33" w:type="paragraph">
    <w:name w:val="Основной текст Знак1"/>
    <w:link w:val="Style_33_ch"/>
    <w:rPr>
      <w:rFonts w:ascii="Times New Roman" w:hAnsi="Times New Roman"/>
      <w:spacing w:val="1"/>
      <w:sz w:val="25"/>
      <w:highlight w:val="white"/>
    </w:rPr>
  </w:style>
  <w:style w:styleId="Style_33_ch" w:type="character">
    <w:name w:val="Основной текст Знак1"/>
    <w:link w:val="Style_33"/>
    <w:rPr>
      <w:rFonts w:ascii="Times New Roman" w:hAnsi="Times New Roman"/>
      <w:spacing w:val="1"/>
      <w:sz w:val="25"/>
      <w:highlight w:val="white"/>
    </w:rPr>
  </w:style>
  <w:style w:styleId="Style_34" w:type="paragraph">
    <w:name w:val="List Paragraph"/>
    <w:basedOn w:val="Style_6"/>
    <w:link w:val="Style_34_ch"/>
    <w:pPr>
      <w:widowControl w:val="1"/>
      <w:ind w:left="720"/>
      <w:contextualSpacing w:val="1"/>
    </w:pPr>
  </w:style>
  <w:style w:styleId="Style_34_ch" w:type="character">
    <w:name w:val="List Paragraph"/>
    <w:basedOn w:val="Style_6_ch"/>
    <w:link w:val="Style_34"/>
  </w:style>
  <w:style w:styleId="Style_35" w:type="paragraph">
    <w:name w:val="toc 5"/>
    <w:next w:val="Style_6"/>
    <w:link w:val="Style_35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5_ch" w:type="character">
    <w:name w:val="toc 5"/>
    <w:link w:val="Style_35"/>
    <w:rPr>
      <w:rFonts w:ascii="XO Thames" w:hAnsi="XO Thames"/>
      <w:sz w:val="28"/>
    </w:rPr>
  </w:style>
  <w:style w:styleId="Style_36" w:type="paragraph">
    <w:name w:val="Subtitle"/>
    <w:next w:val="Style_6"/>
    <w:link w:val="Style_3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6_ch" w:type="character">
    <w:name w:val="Subtitle"/>
    <w:link w:val="Style_36"/>
    <w:rPr>
      <w:rFonts w:ascii="XO Thames" w:hAnsi="XO Thames"/>
      <w:i w:val="1"/>
      <w:sz w:val="24"/>
    </w:rPr>
  </w:style>
  <w:style w:styleId="Style_37" w:type="paragraph">
    <w:name w:val="Default Paragraph Font"/>
    <w:link w:val="Style_37_ch"/>
  </w:style>
  <w:style w:styleId="Style_37_ch" w:type="character">
    <w:name w:val="Default Paragraph Font"/>
    <w:link w:val="Style_37"/>
  </w:style>
  <w:style w:styleId="Style_38" w:type="paragraph">
    <w:name w:val="Гипертекстовая ссылка"/>
    <w:link w:val="Style_38_ch"/>
    <w:rPr>
      <w:b w:val="1"/>
      <w:color w:val="008000"/>
    </w:rPr>
  </w:style>
  <w:style w:styleId="Style_38_ch" w:type="character">
    <w:name w:val="Гипертекстовая ссылка"/>
    <w:link w:val="Style_38"/>
    <w:rPr>
      <w:b w:val="1"/>
      <w:color w:val="008000"/>
    </w:rPr>
  </w:style>
  <w:style w:styleId="Style_39" w:type="paragraph">
    <w:name w:val="Title"/>
    <w:next w:val="Style_6"/>
    <w:link w:val="Style_3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9_ch" w:type="character">
    <w:name w:val="Title"/>
    <w:link w:val="Style_39"/>
    <w:rPr>
      <w:rFonts w:ascii="XO Thames" w:hAnsi="XO Thames"/>
      <w:b w:val="1"/>
      <w:caps w:val="1"/>
      <w:sz w:val="40"/>
    </w:rPr>
  </w:style>
  <w:style w:styleId="Style_40" w:type="paragraph">
    <w:name w:val="heading 4"/>
    <w:next w:val="Style_6"/>
    <w:link w:val="Style_4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0_ch" w:type="character">
    <w:name w:val="heading 4"/>
    <w:link w:val="Style_40"/>
    <w:rPr>
      <w:rFonts w:ascii="XO Thames" w:hAnsi="XO Thames"/>
      <w:b w:val="1"/>
      <w:sz w:val="24"/>
    </w:rPr>
  </w:style>
  <w:style w:styleId="Style_41" w:type="paragraph">
    <w:name w:val="Hashtag"/>
    <w:link w:val="Style_41_ch"/>
    <w:rPr>
      <w:color w:val="605E5C"/>
      <w:shd w:fill="E1DFDD" w:val="clear"/>
    </w:rPr>
  </w:style>
  <w:style w:styleId="Style_41_ch" w:type="character">
    <w:name w:val="Hashtag"/>
    <w:link w:val="Style_41"/>
    <w:rPr>
      <w:color w:val="605E5C"/>
      <w:shd w:fill="E1DFDD" w:val="clear"/>
    </w:rPr>
  </w:style>
  <w:style w:styleId="Style_42" w:type="paragraph">
    <w:name w:val="heading 2"/>
    <w:next w:val="Style_6"/>
    <w:link w:val="Style_4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2_ch" w:type="character">
    <w:name w:val="heading 2"/>
    <w:link w:val="Style_42"/>
    <w:rPr>
      <w:rFonts w:ascii="XO Thames" w:hAnsi="XO Thames"/>
      <w:b w:val="1"/>
      <w:sz w:val="28"/>
    </w:rPr>
  </w:style>
  <w:style w:styleId="Style_43" w:type="paragraph">
    <w:name w:val="Strong"/>
    <w:link w:val="Style_43_ch"/>
    <w:rPr>
      <w:b w:val="1"/>
    </w:rPr>
  </w:style>
  <w:style w:styleId="Style_43_ch" w:type="character">
    <w:name w:val="Strong"/>
    <w:link w:val="Style_43"/>
    <w:rPr>
      <w:b w:val="1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4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2026-09-28T06:01:23Z</dcterms:created>
  <dcterms:modified xsi:type="dcterms:W3CDTF">2026-09-28T06:33:01Z</dcterms:modified>
</cp:coreProperties>
</file>